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0F01" w:rsidRPr="006F132F" w:rsidRDefault="008D0F01" w:rsidP="008D0F01">
      <w:pPr>
        <w:pStyle w:val="Szvegtrzs2"/>
        <w:tabs>
          <w:tab w:val="clear" w:pos="284"/>
          <w:tab w:val="clear" w:pos="1843"/>
          <w:tab w:val="clear" w:pos="4820"/>
          <w:tab w:val="clear" w:pos="5387"/>
          <w:tab w:val="clear" w:pos="6521"/>
          <w:tab w:val="left" w:pos="709"/>
        </w:tabs>
        <w:jc w:val="center"/>
        <w:rPr>
          <w:rFonts w:ascii="Times New Roman" w:hAnsi="Times New Roman"/>
          <w:b/>
          <w:bCs/>
          <w:sz w:val="28"/>
          <w:szCs w:val="28"/>
        </w:rPr>
      </w:pPr>
      <w:r w:rsidRPr="006F132F">
        <w:rPr>
          <w:rFonts w:ascii="Times New Roman" w:hAnsi="Times New Roman"/>
          <w:noProof/>
          <w:sz w:val="28"/>
          <w:szCs w:val="28"/>
          <w:lang w:val="hu-HU" w:eastAsia="hu-HU"/>
        </w:rPr>
        <w:drawing>
          <wp:anchor distT="0" distB="0" distL="95250" distR="95250" simplePos="0" relativeHeight="251659264" behindDoc="0" locked="0" layoutInCell="1" allowOverlap="0">
            <wp:simplePos x="0" y="0"/>
            <wp:positionH relativeFrom="column">
              <wp:posOffset>0</wp:posOffset>
            </wp:positionH>
            <wp:positionV relativeFrom="line">
              <wp:posOffset>29845</wp:posOffset>
            </wp:positionV>
            <wp:extent cx="831215" cy="914400"/>
            <wp:effectExtent l="0" t="0" r="6985" b="0"/>
            <wp:wrapSquare wrapText="bothSides"/>
            <wp:docPr id="1" name="Kép 1" descr="cimermo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descr="cimermont"/>
                    <pic:cNvPicPr>
                      <a:picLocks noChangeAspect="1" noChangeArrowheads="1"/>
                    </pic:cNvPicPr>
                  </pic:nvPicPr>
                  <pic:blipFill>
                    <a:blip r:embed="rId4">
                      <a:lum bright="6000"/>
                      <a:extLst>
                        <a:ext uri="{28A0092B-C50C-407E-A947-70E740481C1C}">
                          <a14:useLocalDpi xmlns:a14="http://schemas.microsoft.com/office/drawing/2010/main" val="0"/>
                        </a:ext>
                      </a:extLst>
                    </a:blip>
                    <a:srcRect/>
                    <a:stretch>
                      <a:fillRect/>
                    </a:stretch>
                  </pic:blipFill>
                  <pic:spPr bwMode="auto">
                    <a:xfrm>
                      <a:off x="0" y="0"/>
                      <a:ext cx="831215"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F132F">
        <w:rPr>
          <w:rFonts w:ascii="Times New Roman" w:hAnsi="Times New Roman"/>
          <w:b/>
          <w:bCs/>
          <w:sz w:val="28"/>
          <w:szCs w:val="28"/>
        </w:rPr>
        <w:t>Martfű Város Polgármesterétől</w:t>
      </w:r>
    </w:p>
    <w:p w:rsidR="008D0F01" w:rsidRPr="006F132F" w:rsidRDefault="008D0F01" w:rsidP="008D0F01">
      <w:pPr>
        <w:jc w:val="center"/>
        <w:rPr>
          <w:noProof/>
        </w:rPr>
      </w:pPr>
      <w:r w:rsidRPr="006F132F">
        <w:rPr>
          <w:noProof/>
        </w:rPr>
        <w:t>5435 Martfű, Szent István tér 1. Tel: 56/450-222; Fax: 56/450-853</w:t>
      </w:r>
    </w:p>
    <w:p w:rsidR="008D0F01" w:rsidRPr="006F132F" w:rsidRDefault="008D0F01" w:rsidP="008D0F01">
      <w:pPr>
        <w:pBdr>
          <w:bottom w:val="single" w:sz="12" w:space="1" w:color="auto"/>
        </w:pBdr>
        <w:jc w:val="center"/>
        <w:rPr>
          <w:noProof/>
        </w:rPr>
      </w:pPr>
      <w:r w:rsidRPr="006F132F">
        <w:rPr>
          <w:noProof/>
        </w:rPr>
        <w:t xml:space="preserve">E-mail: </w:t>
      </w:r>
      <w:hyperlink r:id="rId5" w:history="1">
        <w:r w:rsidRPr="006F132F">
          <w:rPr>
            <w:rStyle w:val="Hiperhivatkozs"/>
            <w:noProof/>
          </w:rPr>
          <w:t>titkarsag@ph.martfu.hu</w:t>
        </w:r>
      </w:hyperlink>
    </w:p>
    <w:p w:rsidR="008D0F01" w:rsidRPr="006F132F" w:rsidRDefault="008D0F01" w:rsidP="008D0F01">
      <w:pPr>
        <w:rPr>
          <w:noProof/>
        </w:rPr>
      </w:pPr>
    </w:p>
    <w:p w:rsidR="008D0F01" w:rsidRPr="006F132F" w:rsidRDefault="008D0F01" w:rsidP="008D0F01"/>
    <w:p w:rsidR="008D0F01" w:rsidRPr="006F132F" w:rsidRDefault="008D0F01" w:rsidP="008D0F01">
      <w:pPr>
        <w:rPr>
          <w:b/>
          <w:bCs/>
        </w:rPr>
      </w:pPr>
    </w:p>
    <w:p w:rsidR="008D0F01" w:rsidRPr="006F132F" w:rsidRDefault="008D0F01" w:rsidP="008D0F01">
      <w:pPr>
        <w:rPr>
          <w:b/>
          <w:bCs/>
        </w:rPr>
      </w:pPr>
    </w:p>
    <w:p w:rsidR="008D0F01" w:rsidRPr="006F132F" w:rsidRDefault="008D0F01" w:rsidP="008D0F01">
      <w:pPr>
        <w:rPr>
          <w:b/>
          <w:bCs/>
        </w:rPr>
      </w:pPr>
    </w:p>
    <w:p w:rsidR="008D0F01" w:rsidRPr="006F132F" w:rsidRDefault="00C95A5E" w:rsidP="008D0F01">
      <w:pPr>
        <w:jc w:val="center"/>
        <w:rPr>
          <w:b/>
          <w:bCs/>
          <w:caps/>
          <w:sz w:val="28"/>
          <w:szCs w:val="28"/>
        </w:rPr>
      </w:pPr>
      <w:r>
        <w:rPr>
          <w:b/>
          <w:bCs/>
          <w:caps/>
          <w:sz w:val="28"/>
          <w:szCs w:val="28"/>
        </w:rPr>
        <w:t>Előterjesztés</w:t>
      </w:r>
    </w:p>
    <w:p w:rsidR="008D0F01" w:rsidRPr="006F132F" w:rsidRDefault="008D0F01" w:rsidP="008D0F01">
      <w:pPr>
        <w:jc w:val="center"/>
        <w:rPr>
          <w:b/>
          <w:bCs/>
          <w:caps/>
        </w:rPr>
      </w:pPr>
    </w:p>
    <w:p w:rsidR="008D0F01" w:rsidRPr="006F132F" w:rsidRDefault="008D0F01" w:rsidP="008D0F01">
      <w:pPr>
        <w:rPr>
          <w:b/>
          <w:bCs/>
          <w:caps/>
        </w:rPr>
      </w:pPr>
      <w:bookmarkStart w:id="0" w:name="_GoBack"/>
    </w:p>
    <w:p w:rsidR="008D0F01" w:rsidRDefault="008D0F01" w:rsidP="008D0F01">
      <w:pPr>
        <w:pStyle w:val="Nincstrkz1"/>
        <w:jc w:val="center"/>
        <w:rPr>
          <w:rFonts w:ascii="Times New Roman" w:hAnsi="Times New Roman" w:cs="Times New Roman"/>
          <w:sz w:val="24"/>
          <w:szCs w:val="24"/>
        </w:rPr>
      </w:pPr>
      <w:r>
        <w:rPr>
          <w:rFonts w:ascii="Times New Roman" w:hAnsi="Times New Roman" w:cs="Times New Roman"/>
          <w:sz w:val="24"/>
          <w:szCs w:val="24"/>
        </w:rPr>
        <w:t>Martfű Város Önkormányzata Képviselő-testületének a telekadóról szóló 20/2015.(XI.27.) rendele</w:t>
      </w:r>
      <w:r w:rsidR="00C95A5E">
        <w:rPr>
          <w:rFonts w:ascii="Times New Roman" w:hAnsi="Times New Roman" w:cs="Times New Roman"/>
          <w:sz w:val="24"/>
          <w:szCs w:val="24"/>
        </w:rPr>
        <w:t>tének hatályon kívül helyezésére</w:t>
      </w:r>
      <w:r>
        <w:rPr>
          <w:rFonts w:ascii="Times New Roman" w:hAnsi="Times New Roman" w:cs="Times New Roman"/>
          <w:sz w:val="24"/>
          <w:szCs w:val="24"/>
        </w:rPr>
        <w:t xml:space="preserve"> </w:t>
      </w:r>
    </w:p>
    <w:bookmarkEnd w:id="0"/>
    <w:p w:rsidR="008D0F01" w:rsidRDefault="008D0F01" w:rsidP="008D0F01">
      <w:pPr>
        <w:pStyle w:val="Nincstrkz1"/>
        <w:jc w:val="center"/>
        <w:rPr>
          <w:rFonts w:ascii="Times New Roman" w:hAnsi="Times New Roman" w:cs="Times New Roman"/>
          <w:sz w:val="24"/>
          <w:szCs w:val="24"/>
        </w:rPr>
      </w:pPr>
    </w:p>
    <w:p w:rsidR="008D0F01" w:rsidRDefault="008D0F01" w:rsidP="008D0F01">
      <w:pPr>
        <w:pStyle w:val="Nincstrkz1"/>
        <w:jc w:val="center"/>
        <w:rPr>
          <w:rFonts w:ascii="Times New Roman" w:hAnsi="Times New Roman" w:cs="Times New Roman"/>
          <w:sz w:val="24"/>
          <w:szCs w:val="24"/>
        </w:rPr>
      </w:pPr>
    </w:p>
    <w:p w:rsidR="008D0F01" w:rsidRPr="006F132F" w:rsidRDefault="008D0F01" w:rsidP="008D0F01">
      <w:pPr>
        <w:pStyle w:val="Nincstrkz1"/>
        <w:jc w:val="center"/>
        <w:rPr>
          <w:rFonts w:ascii="Times New Roman" w:hAnsi="Times New Roman" w:cs="Times New Roman"/>
          <w:sz w:val="24"/>
          <w:szCs w:val="24"/>
        </w:rPr>
      </w:pPr>
      <w:r w:rsidRPr="006F132F">
        <w:rPr>
          <w:rFonts w:ascii="Times New Roman" w:hAnsi="Times New Roman" w:cs="Times New Roman"/>
          <w:sz w:val="24"/>
          <w:szCs w:val="24"/>
        </w:rPr>
        <w:t xml:space="preserve">Martfű Város Önkormányzata Képviselő-testületének </w:t>
      </w:r>
    </w:p>
    <w:p w:rsidR="008D0F01" w:rsidRPr="006F132F" w:rsidRDefault="008D0F01" w:rsidP="008D0F01">
      <w:pPr>
        <w:pStyle w:val="Nincstrkz1"/>
        <w:jc w:val="center"/>
        <w:rPr>
          <w:rFonts w:ascii="Times New Roman" w:hAnsi="Times New Roman" w:cs="Times New Roman"/>
          <w:sz w:val="24"/>
          <w:szCs w:val="24"/>
        </w:rPr>
      </w:pPr>
      <w:r w:rsidRPr="006F132F">
        <w:rPr>
          <w:rFonts w:ascii="Times New Roman" w:hAnsi="Times New Roman" w:cs="Times New Roman"/>
          <w:sz w:val="24"/>
          <w:szCs w:val="24"/>
        </w:rPr>
        <w:t xml:space="preserve">2018. </w:t>
      </w:r>
      <w:r>
        <w:rPr>
          <w:rFonts w:ascii="Times New Roman" w:hAnsi="Times New Roman" w:cs="Times New Roman"/>
          <w:sz w:val="24"/>
          <w:szCs w:val="24"/>
        </w:rPr>
        <w:t>november 29</w:t>
      </w:r>
      <w:r w:rsidRPr="006F132F">
        <w:rPr>
          <w:rFonts w:ascii="Times New Roman" w:hAnsi="Times New Roman" w:cs="Times New Roman"/>
          <w:sz w:val="24"/>
          <w:szCs w:val="24"/>
        </w:rPr>
        <w:t>-i ülésére</w:t>
      </w:r>
    </w:p>
    <w:p w:rsidR="008D0F01" w:rsidRPr="006F132F" w:rsidRDefault="008D0F01" w:rsidP="008D0F01">
      <w:pPr>
        <w:pStyle w:val="Nincstrkz1"/>
        <w:jc w:val="center"/>
        <w:rPr>
          <w:rFonts w:ascii="Times New Roman" w:hAnsi="Times New Roman" w:cs="Times New Roman"/>
          <w:sz w:val="24"/>
          <w:szCs w:val="24"/>
        </w:rPr>
      </w:pPr>
    </w:p>
    <w:p w:rsidR="008D0F01" w:rsidRPr="006F132F" w:rsidRDefault="008D0F01" w:rsidP="008D0F01">
      <w:pPr>
        <w:pStyle w:val="Nincstrkz1"/>
        <w:jc w:val="center"/>
        <w:rPr>
          <w:rFonts w:ascii="Times New Roman" w:hAnsi="Times New Roman" w:cs="Times New Roman"/>
          <w:sz w:val="24"/>
          <w:szCs w:val="24"/>
        </w:rPr>
      </w:pPr>
    </w:p>
    <w:p w:rsidR="008D0F01" w:rsidRPr="006F132F" w:rsidRDefault="008D0F01" w:rsidP="008D0F01">
      <w:pPr>
        <w:pStyle w:val="Nincstrkz1"/>
        <w:jc w:val="center"/>
        <w:rPr>
          <w:rFonts w:ascii="Times New Roman" w:hAnsi="Times New Roman" w:cs="Times New Roman"/>
          <w:sz w:val="24"/>
          <w:szCs w:val="24"/>
        </w:rPr>
      </w:pPr>
    </w:p>
    <w:p w:rsidR="008D0F01" w:rsidRPr="006F132F" w:rsidRDefault="008D0F01" w:rsidP="008D0F01">
      <w:pPr>
        <w:pStyle w:val="Nincstrkz1"/>
        <w:jc w:val="center"/>
        <w:rPr>
          <w:rFonts w:ascii="Times New Roman" w:hAnsi="Times New Roman" w:cs="Times New Roman"/>
          <w:sz w:val="24"/>
          <w:szCs w:val="24"/>
        </w:rPr>
      </w:pPr>
    </w:p>
    <w:p w:rsidR="008D0F01" w:rsidRPr="006F132F" w:rsidRDefault="008D0F01" w:rsidP="008D0F01">
      <w:pPr>
        <w:pStyle w:val="Nincstrkz1"/>
        <w:jc w:val="center"/>
        <w:rPr>
          <w:rFonts w:ascii="Times New Roman" w:hAnsi="Times New Roman" w:cs="Times New Roman"/>
          <w:sz w:val="24"/>
          <w:szCs w:val="24"/>
        </w:rPr>
      </w:pPr>
    </w:p>
    <w:p w:rsidR="008D0F01" w:rsidRPr="006F132F" w:rsidRDefault="008D0F01" w:rsidP="008D0F01">
      <w:pPr>
        <w:pStyle w:val="Nincstrkz1"/>
        <w:jc w:val="center"/>
        <w:rPr>
          <w:rFonts w:ascii="Times New Roman" w:hAnsi="Times New Roman" w:cs="Times New Roman"/>
          <w:sz w:val="24"/>
          <w:szCs w:val="24"/>
        </w:rPr>
      </w:pPr>
    </w:p>
    <w:p w:rsidR="008D0F01" w:rsidRPr="006F132F" w:rsidRDefault="008D0F01" w:rsidP="008D0F01">
      <w:pPr>
        <w:pStyle w:val="Nincstrkz1"/>
        <w:jc w:val="center"/>
        <w:rPr>
          <w:rFonts w:ascii="Times New Roman" w:hAnsi="Times New Roman" w:cs="Times New Roman"/>
          <w:sz w:val="24"/>
          <w:szCs w:val="24"/>
        </w:rPr>
      </w:pPr>
    </w:p>
    <w:p w:rsidR="008D0F01" w:rsidRPr="006F132F" w:rsidRDefault="008D0F01" w:rsidP="008D0F01">
      <w:pPr>
        <w:pStyle w:val="Nincstrkz1"/>
        <w:jc w:val="center"/>
        <w:rPr>
          <w:rFonts w:ascii="Times New Roman" w:hAnsi="Times New Roman" w:cs="Times New Roman"/>
          <w:sz w:val="24"/>
          <w:szCs w:val="24"/>
        </w:rPr>
      </w:pPr>
    </w:p>
    <w:p w:rsidR="008D0F01" w:rsidRPr="006F132F" w:rsidRDefault="008D0F01" w:rsidP="008D0F01">
      <w:pPr>
        <w:pStyle w:val="Nincstrkz1"/>
        <w:jc w:val="center"/>
        <w:rPr>
          <w:rFonts w:ascii="Times New Roman" w:hAnsi="Times New Roman" w:cs="Times New Roman"/>
          <w:sz w:val="24"/>
          <w:szCs w:val="24"/>
        </w:rPr>
      </w:pPr>
    </w:p>
    <w:p w:rsidR="008D0F01" w:rsidRPr="006F132F" w:rsidRDefault="008D0F01" w:rsidP="008D0F01">
      <w:pPr>
        <w:pStyle w:val="Nincstrkz1"/>
        <w:jc w:val="center"/>
        <w:rPr>
          <w:rFonts w:ascii="Times New Roman" w:hAnsi="Times New Roman" w:cs="Times New Roman"/>
          <w:sz w:val="24"/>
          <w:szCs w:val="24"/>
        </w:rPr>
      </w:pPr>
    </w:p>
    <w:p w:rsidR="008D0F01" w:rsidRPr="006F132F" w:rsidRDefault="008D0F01" w:rsidP="008D0F01">
      <w:pPr>
        <w:pStyle w:val="Nincstrkz1"/>
        <w:jc w:val="center"/>
        <w:rPr>
          <w:rFonts w:ascii="Times New Roman" w:hAnsi="Times New Roman" w:cs="Times New Roman"/>
          <w:sz w:val="24"/>
          <w:szCs w:val="24"/>
        </w:rPr>
      </w:pPr>
    </w:p>
    <w:p w:rsidR="008D0F01" w:rsidRPr="006F132F" w:rsidRDefault="008D0F01" w:rsidP="008D0F01">
      <w:pPr>
        <w:pStyle w:val="Nincstrkz1"/>
        <w:jc w:val="center"/>
        <w:rPr>
          <w:rFonts w:ascii="Times New Roman" w:hAnsi="Times New Roman" w:cs="Times New Roman"/>
          <w:sz w:val="24"/>
          <w:szCs w:val="24"/>
        </w:rPr>
      </w:pPr>
    </w:p>
    <w:p w:rsidR="008D0F01" w:rsidRPr="006F132F" w:rsidRDefault="008D0F01" w:rsidP="008D0F01">
      <w:pPr>
        <w:pStyle w:val="Nincstrkz1"/>
        <w:jc w:val="center"/>
        <w:rPr>
          <w:rFonts w:ascii="Times New Roman" w:hAnsi="Times New Roman" w:cs="Times New Roman"/>
          <w:sz w:val="24"/>
          <w:szCs w:val="24"/>
        </w:rPr>
      </w:pPr>
    </w:p>
    <w:p w:rsidR="008D0F01" w:rsidRPr="006F132F" w:rsidRDefault="008D0F01" w:rsidP="008D0F01">
      <w:pPr>
        <w:pStyle w:val="Nincstrkz1"/>
        <w:jc w:val="center"/>
        <w:rPr>
          <w:rFonts w:ascii="Times New Roman" w:hAnsi="Times New Roman" w:cs="Times New Roman"/>
          <w:sz w:val="24"/>
          <w:szCs w:val="24"/>
        </w:rPr>
      </w:pPr>
    </w:p>
    <w:p w:rsidR="008D0F01" w:rsidRPr="006F132F" w:rsidRDefault="008D0F01" w:rsidP="008D0F01">
      <w:pPr>
        <w:pStyle w:val="Nincstrkz1"/>
        <w:rPr>
          <w:rFonts w:ascii="Times New Roman" w:hAnsi="Times New Roman" w:cs="Times New Roman"/>
          <w:sz w:val="24"/>
          <w:szCs w:val="24"/>
        </w:rPr>
      </w:pPr>
    </w:p>
    <w:p w:rsidR="008D0F01" w:rsidRPr="006F132F" w:rsidRDefault="008D0F01" w:rsidP="008D0F01">
      <w:pPr>
        <w:pStyle w:val="Nincstrkz1"/>
        <w:rPr>
          <w:rFonts w:ascii="Times New Roman" w:hAnsi="Times New Roman" w:cs="Times New Roman"/>
          <w:sz w:val="24"/>
          <w:szCs w:val="24"/>
        </w:rPr>
      </w:pPr>
    </w:p>
    <w:p w:rsidR="008D0F01" w:rsidRPr="006F132F" w:rsidRDefault="008D0F01" w:rsidP="008D0F01">
      <w:pPr>
        <w:pStyle w:val="Nincstrkz1"/>
        <w:rPr>
          <w:rFonts w:ascii="Times New Roman" w:hAnsi="Times New Roman" w:cs="Times New Roman"/>
          <w:sz w:val="24"/>
          <w:szCs w:val="24"/>
        </w:rPr>
      </w:pPr>
    </w:p>
    <w:p w:rsidR="008D0F01" w:rsidRPr="006F132F" w:rsidRDefault="008D0F01" w:rsidP="008D0F01">
      <w:pPr>
        <w:pStyle w:val="Nincstrkz1"/>
        <w:rPr>
          <w:rFonts w:ascii="Times New Roman" w:hAnsi="Times New Roman" w:cs="Times New Roman"/>
          <w:sz w:val="24"/>
          <w:szCs w:val="24"/>
        </w:rPr>
      </w:pPr>
    </w:p>
    <w:p w:rsidR="008D0F01" w:rsidRPr="006F132F" w:rsidRDefault="008D0F01" w:rsidP="008D0F01">
      <w:pPr>
        <w:pStyle w:val="Nincstrkz1"/>
        <w:rPr>
          <w:rFonts w:ascii="Times New Roman" w:hAnsi="Times New Roman" w:cs="Times New Roman"/>
          <w:sz w:val="24"/>
          <w:szCs w:val="24"/>
        </w:rPr>
      </w:pPr>
    </w:p>
    <w:p w:rsidR="008D0F01" w:rsidRPr="006F132F" w:rsidRDefault="008D0F01" w:rsidP="008D0F01">
      <w:pPr>
        <w:pStyle w:val="Nincstrkz1"/>
        <w:rPr>
          <w:rFonts w:ascii="Times New Roman" w:hAnsi="Times New Roman" w:cs="Times New Roman"/>
          <w:sz w:val="24"/>
          <w:szCs w:val="24"/>
        </w:rPr>
      </w:pPr>
    </w:p>
    <w:p w:rsidR="008D0F01" w:rsidRPr="006F132F" w:rsidRDefault="008D0F01" w:rsidP="008D0F01">
      <w:pPr>
        <w:pStyle w:val="Nincstrkz1"/>
        <w:rPr>
          <w:rFonts w:ascii="Times New Roman" w:hAnsi="Times New Roman" w:cs="Times New Roman"/>
          <w:sz w:val="24"/>
          <w:szCs w:val="24"/>
        </w:rPr>
      </w:pPr>
    </w:p>
    <w:p w:rsidR="008D0F01" w:rsidRPr="006F132F" w:rsidRDefault="008D0F01" w:rsidP="008D0F01">
      <w:pPr>
        <w:pStyle w:val="Nincstrkz1"/>
        <w:rPr>
          <w:rFonts w:ascii="Times New Roman" w:hAnsi="Times New Roman" w:cs="Times New Roman"/>
          <w:sz w:val="24"/>
          <w:szCs w:val="24"/>
        </w:rPr>
      </w:pPr>
    </w:p>
    <w:p w:rsidR="008D0F01" w:rsidRPr="006F132F" w:rsidRDefault="008D0F01" w:rsidP="008D0F01">
      <w:pPr>
        <w:pStyle w:val="Nincstrkz1"/>
        <w:rPr>
          <w:rFonts w:ascii="Times New Roman" w:hAnsi="Times New Roman" w:cs="Times New Roman"/>
          <w:sz w:val="24"/>
          <w:szCs w:val="24"/>
        </w:rPr>
      </w:pPr>
    </w:p>
    <w:p w:rsidR="008D0F01" w:rsidRPr="006F132F" w:rsidRDefault="008D0F01" w:rsidP="008D0F01">
      <w:pPr>
        <w:pStyle w:val="Nincstrkz1"/>
        <w:rPr>
          <w:rFonts w:ascii="Times New Roman" w:hAnsi="Times New Roman" w:cs="Times New Roman"/>
          <w:sz w:val="24"/>
          <w:szCs w:val="24"/>
        </w:rPr>
      </w:pPr>
      <w:r w:rsidRPr="006F132F">
        <w:rPr>
          <w:rFonts w:ascii="Times New Roman" w:hAnsi="Times New Roman" w:cs="Times New Roman"/>
          <w:sz w:val="24"/>
          <w:szCs w:val="24"/>
        </w:rPr>
        <w:t xml:space="preserve">Előkészítette: </w:t>
      </w:r>
      <w:r>
        <w:rPr>
          <w:rFonts w:ascii="Times New Roman" w:hAnsi="Times New Roman" w:cs="Times New Roman"/>
          <w:sz w:val="24"/>
          <w:szCs w:val="24"/>
        </w:rPr>
        <w:t>Papp Ferenc adóügyi ügyintéző</w:t>
      </w:r>
    </w:p>
    <w:p w:rsidR="008D0F01" w:rsidRPr="006F132F" w:rsidRDefault="008D0F01" w:rsidP="008D0F01">
      <w:pPr>
        <w:pStyle w:val="Nincstrkz1"/>
        <w:rPr>
          <w:rFonts w:ascii="Times New Roman" w:hAnsi="Times New Roman" w:cs="Times New Roman"/>
          <w:sz w:val="24"/>
          <w:szCs w:val="24"/>
        </w:rPr>
      </w:pPr>
    </w:p>
    <w:p w:rsidR="008D0F01" w:rsidRPr="006F132F" w:rsidRDefault="008D0F01" w:rsidP="008D0F01">
      <w:pPr>
        <w:pStyle w:val="Nincstrkz1"/>
        <w:rPr>
          <w:rFonts w:ascii="Times New Roman" w:hAnsi="Times New Roman" w:cs="Times New Roman"/>
          <w:sz w:val="24"/>
          <w:szCs w:val="24"/>
        </w:rPr>
      </w:pPr>
      <w:r w:rsidRPr="006F132F">
        <w:rPr>
          <w:rFonts w:ascii="Times New Roman" w:hAnsi="Times New Roman" w:cs="Times New Roman"/>
          <w:sz w:val="24"/>
          <w:szCs w:val="24"/>
        </w:rPr>
        <w:t>Véleményező: Pénzügyi, Ügyrendi és Városfejlesztési Bizottság</w:t>
      </w:r>
    </w:p>
    <w:p w:rsidR="008D0F01" w:rsidRPr="006F132F" w:rsidRDefault="008D0F01" w:rsidP="008D0F01">
      <w:pPr>
        <w:pStyle w:val="Nincstrkz1"/>
        <w:rPr>
          <w:rFonts w:ascii="Times New Roman" w:hAnsi="Times New Roman" w:cs="Times New Roman"/>
          <w:sz w:val="24"/>
          <w:szCs w:val="24"/>
        </w:rPr>
      </w:pPr>
    </w:p>
    <w:p w:rsidR="008D0F01" w:rsidRPr="006F132F" w:rsidRDefault="008D0F01" w:rsidP="008D0F01">
      <w:pPr>
        <w:pStyle w:val="Nincstrkz1"/>
        <w:rPr>
          <w:rFonts w:ascii="Times New Roman" w:hAnsi="Times New Roman" w:cs="Times New Roman"/>
          <w:sz w:val="24"/>
          <w:szCs w:val="24"/>
        </w:rPr>
      </w:pPr>
      <w:r w:rsidRPr="006F132F">
        <w:rPr>
          <w:rFonts w:ascii="Times New Roman" w:hAnsi="Times New Roman" w:cs="Times New Roman"/>
          <w:sz w:val="24"/>
          <w:szCs w:val="24"/>
        </w:rPr>
        <w:t xml:space="preserve">Döntéshozatal: minősített többség </w:t>
      </w:r>
    </w:p>
    <w:p w:rsidR="008D0F01" w:rsidRPr="006F132F" w:rsidRDefault="008D0F01" w:rsidP="008D0F01">
      <w:pPr>
        <w:pStyle w:val="Nincstrkz1"/>
        <w:rPr>
          <w:rFonts w:ascii="Times New Roman" w:hAnsi="Times New Roman" w:cs="Times New Roman"/>
          <w:sz w:val="24"/>
          <w:szCs w:val="24"/>
        </w:rPr>
      </w:pPr>
    </w:p>
    <w:p w:rsidR="008D0F01" w:rsidRDefault="008D0F01" w:rsidP="008D0F01">
      <w:pPr>
        <w:pStyle w:val="Nincstrkz1"/>
        <w:rPr>
          <w:rFonts w:ascii="Times New Roman" w:hAnsi="Times New Roman" w:cs="Times New Roman"/>
          <w:sz w:val="24"/>
          <w:szCs w:val="24"/>
        </w:rPr>
      </w:pPr>
      <w:r w:rsidRPr="006F132F">
        <w:rPr>
          <w:rFonts w:ascii="Times New Roman" w:hAnsi="Times New Roman" w:cs="Times New Roman"/>
          <w:sz w:val="24"/>
          <w:szCs w:val="24"/>
        </w:rPr>
        <w:t>Tárgyalás módja: nyilvános ülés</w:t>
      </w:r>
    </w:p>
    <w:p w:rsidR="0072775A" w:rsidRDefault="0072775A" w:rsidP="008D0F01">
      <w:pPr>
        <w:pStyle w:val="Nincstrkz1"/>
        <w:rPr>
          <w:rFonts w:ascii="Times New Roman" w:hAnsi="Times New Roman" w:cs="Times New Roman"/>
          <w:sz w:val="24"/>
          <w:szCs w:val="24"/>
        </w:rPr>
      </w:pPr>
    </w:p>
    <w:p w:rsidR="0072775A" w:rsidRDefault="0072775A" w:rsidP="008D0F01">
      <w:pPr>
        <w:pStyle w:val="Nincstrkz1"/>
        <w:rPr>
          <w:rFonts w:ascii="Times New Roman" w:hAnsi="Times New Roman" w:cs="Times New Roman"/>
          <w:sz w:val="24"/>
          <w:szCs w:val="24"/>
        </w:rPr>
      </w:pPr>
    </w:p>
    <w:p w:rsidR="0072775A" w:rsidRDefault="0072775A" w:rsidP="008D0F01">
      <w:pPr>
        <w:pStyle w:val="Nincstrkz1"/>
        <w:rPr>
          <w:rFonts w:ascii="Times New Roman" w:hAnsi="Times New Roman" w:cs="Times New Roman"/>
          <w:sz w:val="24"/>
          <w:szCs w:val="24"/>
        </w:rPr>
      </w:pPr>
    </w:p>
    <w:p w:rsidR="0072775A" w:rsidRDefault="0072775A" w:rsidP="0072775A">
      <w:pPr>
        <w:jc w:val="center"/>
        <w:rPr>
          <w:b/>
          <w:szCs w:val="32"/>
        </w:rPr>
      </w:pPr>
      <w:r>
        <w:rPr>
          <w:b/>
          <w:szCs w:val="32"/>
        </w:rPr>
        <w:lastRenderedPageBreak/>
        <w:t>Indoklás</w:t>
      </w:r>
    </w:p>
    <w:p w:rsidR="0072775A" w:rsidRDefault="0072775A" w:rsidP="0072775A">
      <w:pPr>
        <w:jc w:val="center"/>
        <w:rPr>
          <w:b/>
          <w:szCs w:val="32"/>
        </w:rPr>
      </w:pPr>
    </w:p>
    <w:p w:rsidR="0072775A" w:rsidRDefault="0072775A" w:rsidP="0072775A">
      <w:pPr>
        <w:jc w:val="center"/>
        <w:rPr>
          <w:szCs w:val="32"/>
        </w:rPr>
      </w:pPr>
      <w:r>
        <w:rPr>
          <w:szCs w:val="32"/>
        </w:rPr>
        <w:t>Martfű Város Önkormányzata Képviselő-testületének a telekadóról szóló 20/2015.(XI.27.) rendeletének hatályon kívül helyezéséről szóló</w:t>
      </w:r>
    </w:p>
    <w:p w:rsidR="0072775A" w:rsidRPr="00A90176" w:rsidRDefault="0072775A" w:rsidP="0072775A">
      <w:pPr>
        <w:jc w:val="center"/>
        <w:rPr>
          <w:szCs w:val="32"/>
        </w:rPr>
      </w:pPr>
      <w:r>
        <w:rPr>
          <w:szCs w:val="32"/>
        </w:rPr>
        <w:t>___/2018.(__.__.) önkormányzati rendeletéhez</w:t>
      </w:r>
    </w:p>
    <w:p w:rsidR="0072775A" w:rsidRPr="0046712D" w:rsidRDefault="0072775A" w:rsidP="0072775A">
      <w:pPr>
        <w:spacing w:line="360" w:lineRule="auto"/>
        <w:ind w:left="-142" w:right="-142"/>
        <w:jc w:val="both"/>
        <w:rPr>
          <w:u w:val="single"/>
        </w:rPr>
      </w:pPr>
      <w:r w:rsidRPr="0046712D">
        <w:rPr>
          <w:u w:val="single"/>
        </w:rPr>
        <w:t>Az 1. §</w:t>
      </w:r>
      <w:proofErr w:type="spellStart"/>
      <w:r w:rsidRPr="0046712D">
        <w:rPr>
          <w:u w:val="single"/>
        </w:rPr>
        <w:t>-hoz</w:t>
      </w:r>
      <w:proofErr w:type="spellEnd"/>
      <w:r w:rsidRPr="0046712D">
        <w:rPr>
          <w:u w:val="single"/>
        </w:rPr>
        <w:t>:</w:t>
      </w:r>
    </w:p>
    <w:p w:rsidR="0072775A" w:rsidRDefault="0072775A" w:rsidP="0072775A">
      <w:pPr>
        <w:spacing w:line="360" w:lineRule="auto"/>
        <w:ind w:left="-142" w:right="-142"/>
        <w:jc w:val="both"/>
      </w:pPr>
      <w:r>
        <w:t>A Képviselő-testület 2016. évtől kezdődően azzal a szándékkal vezette be a telekadót, hogy kizárólag a Martfű város belterületén fekvő teljesen üres, beépítetlen telkeket vonja adófizetés alá, mindezt azért, hogy elejét vegye a telkek beépítés nélküli esetleges spekulatív módon történő felhalmozásának.</w:t>
      </w:r>
    </w:p>
    <w:p w:rsidR="0072775A" w:rsidRDefault="0072775A" w:rsidP="0072775A">
      <w:pPr>
        <w:spacing w:line="360" w:lineRule="auto"/>
        <w:ind w:left="-142" w:right="-142"/>
        <w:jc w:val="both"/>
      </w:pPr>
      <w:r>
        <w:t xml:space="preserve">Az adókötelezettség rendeletben történt meghatározása – mint utólag kiderült – helytelen módon a rendelet területi, valamint tárgyi hatályának leszűkítésével történt meg. A helyi adókról szóló 1990. évi C. törvény (továbbiakban: </w:t>
      </w:r>
      <w:proofErr w:type="spellStart"/>
      <w:r>
        <w:t>Htv</w:t>
      </w:r>
      <w:proofErr w:type="spellEnd"/>
      <w:r>
        <w:t xml:space="preserve">.) 2. § általános szabálya kimondja, hogy „az önkormányzat </w:t>
      </w:r>
      <w:proofErr w:type="spellStart"/>
      <w:r>
        <w:t>adómegállapítási</w:t>
      </w:r>
      <w:proofErr w:type="spellEnd"/>
      <w:r>
        <w:t xml:space="preserve"> joga az e törvényben meghatározott adóalanyokra és adótárgyakra terjed ki”. A </w:t>
      </w:r>
      <w:proofErr w:type="spellStart"/>
      <w:r>
        <w:t>Htv</w:t>
      </w:r>
      <w:proofErr w:type="spellEnd"/>
      <w:r>
        <w:t>. 17. § emellett kimondja, hogy „adóköteles az önkormányzat illetékességi területén lévő telek”. (A telek fogalma azonban nem csak az üres, hanem az építményt tartalmazó bármely önálló helyrajzi számmal rendelkező terület építménnyel le nem fedett részét is magában foglalja.) A fentiek szerint tehát mind a területi, mind a tárgyi hatályt egyértelműen meghatározza a törvény, azt rendelet nem írhatja felül.</w:t>
      </w:r>
    </w:p>
    <w:p w:rsidR="0072775A" w:rsidRDefault="0072775A" w:rsidP="0072775A">
      <w:pPr>
        <w:spacing w:line="360" w:lineRule="auto"/>
        <w:ind w:left="-142" w:right="-142"/>
        <w:jc w:val="both"/>
      </w:pPr>
      <w:r>
        <w:t xml:space="preserve">Amennyiben az önkormányzat mégis szűkíteni kívánná az adókötelezettek körét, azt külön önkormányzati kedvezmények, mentességek megállapításával – </w:t>
      </w:r>
      <w:proofErr w:type="spellStart"/>
      <w:r>
        <w:t>Htv</w:t>
      </w:r>
      <w:proofErr w:type="spellEnd"/>
      <w:r>
        <w:t xml:space="preserve">. 6. § d) pont által adott felhatalmazás alapján – teheti meg, ám a </w:t>
      </w:r>
      <w:proofErr w:type="spellStart"/>
      <w:r>
        <w:t>Htv</w:t>
      </w:r>
      <w:proofErr w:type="spellEnd"/>
      <w:r>
        <w:t>. rögtön szigorú korlátozást is megfogalmaz.</w:t>
      </w:r>
      <w:r>
        <w:br/>
        <w:t xml:space="preserve">A 7. § e) pontja szerint a vállalkozó üzleti célt szolgáló épülete, épületrésze utáni építményadó, telke utáni telekadó… megállapítása során a </w:t>
      </w:r>
      <w:proofErr w:type="spellStart"/>
      <w:r>
        <w:t>Htv</w:t>
      </w:r>
      <w:proofErr w:type="spellEnd"/>
      <w:r>
        <w:t>. 6. § d) pontja nem alkalmazható.</w:t>
      </w:r>
    </w:p>
    <w:p w:rsidR="0072775A" w:rsidRDefault="0072775A" w:rsidP="0072775A">
      <w:pPr>
        <w:spacing w:line="360" w:lineRule="auto"/>
        <w:ind w:left="-142" w:right="-142"/>
        <w:jc w:val="both"/>
      </w:pPr>
      <w:r>
        <w:rPr>
          <w:szCs w:val="32"/>
        </w:rPr>
        <w:t>Martfű Város Önkormányzata Képviselő-testületének a telekadóról szóló 20/2015.(XI.27.) rendelete</w:t>
      </w:r>
      <w:r>
        <w:t xml:space="preserve"> esetében az önkormányzati kedvezmény, mentesség egyetlen vállalkozásra sem vonatkozhatna, így az összes egyéni és társas vállalkozás telekadó fizetésre lenne kötelezett, még akkor is, ha telkén egyébként építmény található.</w:t>
      </w:r>
    </w:p>
    <w:p w:rsidR="0072775A" w:rsidRDefault="0072775A" w:rsidP="0072775A">
      <w:pPr>
        <w:spacing w:line="360" w:lineRule="auto"/>
        <w:ind w:left="-142" w:right="-142"/>
        <w:jc w:val="both"/>
      </w:pPr>
      <w:r>
        <w:t>A telekadó fizetési kötelezettség az – egyébként már építményadóval is terhelt – vállalkozók szinte teljes körét érintené, várhatóan nehéz, illetve lehetetlen helyzetbe hozná jelentős részüket. Miután a rendelet kedvezményrendszerének magasabb jogszabályoknak megfelelő átalakítása az adózók széles körének teherbíró képességét próbára tenné, jelen helyzetben a telekadó rendelet hatályon kívül helyezése látszik célszerű megoldásnak a magasabb jogszabálynak megfelelés helyreállításához.</w:t>
      </w:r>
    </w:p>
    <w:p w:rsidR="0072775A" w:rsidRDefault="0072775A" w:rsidP="0072775A">
      <w:pPr>
        <w:spacing w:line="360" w:lineRule="auto"/>
        <w:ind w:left="-142" w:right="-142"/>
        <w:jc w:val="both"/>
      </w:pPr>
    </w:p>
    <w:p w:rsidR="0072775A" w:rsidRDefault="0072775A" w:rsidP="0072775A">
      <w:pPr>
        <w:jc w:val="center"/>
      </w:pPr>
      <w:r>
        <w:lastRenderedPageBreak/>
        <w:t>Martfű Város Önkormányzata Képviselő-testületének a telekadóról szóló 20/2015.(XI.27.) rendeletének hatályon kívül helyezéséről szóló</w:t>
      </w:r>
    </w:p>
    <w:p w:rsidR="0072775A" w:rsidRDefault="0072775A" w:rsidP="0072775A">
      <w:pPr>
        <w:jc w:val="center"/>
      </w:pPr>
      <w:r>
        <w:t>___/2018.(___.___.) önkormányzati rendelethez</w:t>
      </w:r>
    </w:p>
    <w:p w:rsidR="0072775A" w:rsidRDefault="0072775A" w:rsidP="0072775A">
      <w:pPr>
        <w:jc w:val="center"/>
      </w:pPr>
    </w:p>
    <w:p w:rsidR="0072775A" w:rsidRDefault="0072775A" w:rsidP="0072775A">
      <w:pPr>
        <w:jc w:val="both"/>
        <w:rPr>
          <w:u w:val="single"/>
        </w:rPr>
      </w:pPr>
      <w:r>
        <w:rPr>
          <w:u w:val="single"/>
        </w:rPr>
        <w:t>A rendelet-tervezet címe:</w:t>
      </w:r>
    </w:p>
    <w:p w:rsidR="0072775A" w:rsidRDefault="0072775A" w:rsidP="0072775A">
      <w:pPr>
        <w:jc w:val="both"/>
      </w:pPr>
      <w:r>
        <w:t>Martfű Város Önkormányzata Képviselő-testületének a telekadóról szóló 20/2015.(XI.27.) rendeletének hatályon kívül helyezéséről</w:t>
      </w:r>
    </w:p>
    <w:p w:rsidR="0072775A" w:rsidRDefault="0072775A" w:rsidP="0072775A"/>
    <w:p w:rsidR="0072775A" w:rsidRDefault="0072775A" w:rsidP="0072775A">
      <w:r>
        <w:t>1.) Társadalmi-gazdasági hatása:</w:t>
      </w:r>
    </w:p>
    <w:p w:rsidR="0072775A" w:rsidRDefault="0072775A" w:rsidP="0072775A">
      <w:pPr>
        <w:tabs>
          <w:tab w:val="left" w:pos="284"/>
        </w:tabs>
        <w:autoSpaceDE w:val="0"/>
        <w:autoSpaceDN w:val="0"/>
        <w:adjustRightInd w:val="0"/>
        <w:jc w:val="both"/>
        <w:rPr>
          <w:bCs/>
        </w:rPr>
      </w:pPr>
      <w:r>
        <w:rPr>
          <w:bCs/>
        </w:rPr>
        <w:tab/>
      </w:r>
    </w:p>
    <w:p w:rsidR="0072775A" w:rsidRDefault="0072775A" w:rsidP="0072775A">
      <w:pPr>
        <w:tabs>
          <w:tab w:val="left" w:pos="567"/>
        </w:tabs>
        <w:autoSpaceDE w:val="0"/>
        <w:autoSpaceDN w:val="0"/>
        <w:adjustRightInd w:val="0"/>
        <w:jc w:val="both"/>
        <w:rPr>
          <w:bCs/>
        </w:rPr>
      </w:pPr>
      <w:r>
        <w:rPr>
          <w:bCs/>
        </w:rPr>
        <w:t>Az adóalanyok telekadó-kötelezettsége megszűnik, a vállalkozások gazdálkodását ez az adónem a továbbiakban nem terheli, az eddig telekadót fizető gazdálkodása könnyebbé válik.</w:t>
      </w:r>
    </w:p>
    <w:p w:rsidR="0072775A" w:rsidRDefault="0072775A" w:rsidP="0072775A">
      <w:pPr>
        <w:tabs>
          <w:tab w:val="left" w:pos="426"/>
        </w:tabs>
        <w:autoSpaceDE w:val="0"/>
        <w:autoSpaceDN w:val="0"/>
        <w:adjustRightInd w:val="0"/>
        <w:ind w:firstLine="284"/>
        <w:jc w:val="both"/>
        <w:rPr>
          <w:bCs/>
        </w:rPr>
      </w:pPr>
    </w:p>
    <w:p w:rsidR="0072775A" w:rsidRDefault="0072775A" w:rsidP="0072775A">
      <w:r>
        <w:t>2.) Költségvetési hatása:</w:t>
      </w:r>
    </w:p>
    <w:p w:rsidR="0072775A" w:rsidRDefault="0072775A" w:rsidP="0072775A">
      <w:pPr>
        <w:tabs>
          <w:tab w:val="left" w:pos="284"/>
        </w:tabs>
      </w:pPr>
      <w:r>
        <w:t xml:space="preserve"> </w:t>
      </w:r>
    </w:p>
    <w:p w:rsidR="0072775A" w:rsidRDefault="0072775A" w:rsidP="0072775A">
      <w:pPr>
        <w:tabs>
          <w:tab w:val="left" w:pos="567"/>
        </w:tabs>
        <w:autoSpaceDE w:val="0"/>
        <w:autoSpaceDN w:val="0"/>
        <w:adjustRightInd w:val="0"/>
        <w:jc w:val="both"/>
        <w:rPr>
          <w:bCs/>
        </w:rPr>
      </w:pPr>
      <w:r>
        <w:t>A költségvetés adóbevételei mintegy 2 millió forinttal csökkennek ugyan, de ez a helyi adóbevételek elenyésző része, annak mindössze kb. 0,38 %-a</w:t>
      </w:r>
      <w:r>
        <w:rPr>
          <w:bCs/>
        </w:rPr>
        <w:t>.</w:t>
      </w:r>
    </w:p>
    <w:p w:rsidR="0072775A" w:rsidRDefault="0072775A" w:rsidP="0072775A"/>
    <w:p w:rsidR="0072775A" w:rsidRDefault="0072775A" w:rsidP="0072775A">
      <w:r>
        <w:t>3.) Környezeti, egészségi következményei:</w:t>
      </w:r>
    </w:p>
    <w:p w:rsidR="0072775A" w:rsidRDefault="0072775A" w:rsidP="0072775A">
      <w:pPr>
        <w:tabs>
          <w:tab w:val="left" w:pos="284"/>
        </w:tabs>
      </w:pPr>
    </w:p>
    <w:p w:rsidR="0072775A" w:rsidRDefault="0072775A" w:rsidP="0072775A">
      <w:pPr>
        <w:tabs>
          <w:tab w:val="left" w:pos="567"/>
        </w:tabs>
        <w:autoSpaceDE w:val="0"/>
        <w:autoSpaceDN w:val="0"/>
        <w:adjustRightInd w:val="0"/>
        <w:jc w:val="both"/>
        <w:rPr>
          <w:bCs/>
        </w:rPr>
      </w:pPr>
      <w:r>
        <w:t>Nincs</w:t>
      </w:r>
      <w:r>
        <w:rPr>
          <w:bCs/>
        </w:rPr>
        <w:t>.</w:t>
      </w:r>
    </w:p>
    <w:p w:rsidR="0072775A" w:rsidRDefault="0072775A" w:rsidP="0072775A"/>
    <w:p w:rsidR="0072775A" w:rsidRDefault="0072775A" w:rsidP="0072775A">
      <w:pPr>
        <w:tabs>
          <w:tab w:val="left" w:pos="284"/>
        </w:tabs>
      </w:pPr>
      <w:r>
        <w:t>4.) Adminisztratív terheket befolyásoló hatása:</w:t>
      </w:r>
    </w:p>
    <w:p w:rsidR="0072775A" w:rsidRDefault="0072775A" w:rsidP="0072775A">
      <w:pPr>
        <w:tabs>
          <w:tab w:val="left" w:pos="284"/>
        </w:tabs>
      </w:pPr>
    </w:p>
    <w:p w:rsidR="0072775A" w:rsidRDefault="0072775A" w:rsidP="0072775A">
      <w:pPr>
        <w:tabs>
          <w:tab w:val="left" w:pos="567"/>
        </w:tabs>
        <w:autoSpaceDE w:val="0"/>
        <w:autoSpaceDN w:val="0"/>
        <w:adjustRightInd w:val="0"/>
        <w:jc w:val="both"/>
        <w:rPr>
          <w:bCs/>
        </w:rPr>
      </w:pPr>
      <w:r>
        <w:rPr>
          <w:bCs/>
        </w:rPr>
        <w:t xml:space="preserve">Az eddigi ügyszámhoz képest nagyon </w:t>
      </w:r>
      <w:r w:rsidRPr="008268A6">
        <w:rPr>
          <w:bCs/>
        </w:rPr>
        <w:t xml:space="preserve">jelentős változás </w:t>
      </w:r>
      <w:r>
        <w:rPr>
          <w:bCs/>
        </w:rPr>
        <w:t>nem várható, de kis mértékben csökkenti az adminisztrációs terheket.</w:t>
      </w:r>
    </w:p>
    <w:p w:rsidR="0072775A" w:rsidRDefault="0072775A" w:rsidP="0072775A"/>
    <w:p w:rsidR="0072775A" w:rsidRDefault="0072775A" w:rsidP="0072775A">
      <w:pPr>
        <w:ind w:left="284" w:hanging="284"/>
      </w:pPr>
      <w:r>
        <w:t xml:space="preserve">5.) A rendelet hatályon kívül helyezésének szükségessége: </w:t>
      </w:r>
    </w:p>
    <w:p w:rsidR="0072775A" w:rsidRDefault="0072775A" w:rsidP="0072775A">
      <w:pPr>
        <w:tabs>
          <w:tab w:val="left" w:pos="567"/>
        </w:tabs>
        <w:autoSpaceDE w:val="0"/>
        <w:autoSpaceDN w:val="0"/>
        <w:adjustRightInd w:val="0"/>
        <w:jc w:val="both"/>
        <w:rPr>
          <w:bCs/>
        </w:rPr>
      </w:pPr>
    </w:p>
    <w:p w:rsidR="0072775A" w:rsidRDefault="0072775A" w:rsidP="0072775A">
      <w:pPr>
        <w:tabs>
          <w:tab w:val="left" w:pos="567"/>
        </w:tabs>
        <w:autoSpaceDE w:val="0"/>
        <w:autoSpaceDN w:val="0"/>
        <w:adjustRightInd w:val="0"/>
        <w:jc w:val="both"/>
        <w:rPr>
          <w:bCs/>
        </w:rPr>
      </w:pPr>
      <w:r>
        <w:rPr>
          <w:bCs/>
        </w:rPr>
        <w:t>Magasabb jogszabályi előírások miatt nem maradhatott az eredetileg megalkotott formában.</w:t>
      </w:r>
    </w:p>
    <w:p w:rsidR="0072775A" w:rsidRDefault="0072775A" w:rsidP="0072775A">
      <w:pPr>
        <w:tabs>
          <w:tab w:val="left" w:pos="284"/>
        </w:tabs>
      </w:pPr>
    </w:p>
    <w:p w:rsidR="0072775A" w:rsidRDefault="0072775A" w:rsidP="0072775A">
      <w:pPr>
        <w:ind w:left="284" w:hanging="284"/>
      </w:pPr>
      <w:r>
        <w:t xml:space="preserve">6.) A rendelet megalkotásának elmaradása esetén várható következmények: </w:t>
      </w:r>
    </w:p>
    <w:p w:rsidR="0072775A" w:rsidRDefault="0072775A" w:rsidP="0072775A">
      <w:pPr>
        <w:tabs>
          <w:tab w:val="left" w:pos="284"/>
        </w:tabs>
      </w:pPr>
    </w:p>
    <w:p w:rsidR="0072775A" w:rsidRPr="00402BD6" w:rsidRDefault="0072775A" w:rsidP="0072775A">
      <w:pPr>
        <w:tabs>
          <w:tab w:val="left" w:pos="567"/>
        </w:tabs>
        <w:autoSpaceDE w:val="0"/>
        <w:autoSpaceDN w:val="0"/>
        <w:adjustRightInd w:val="0"/>
        <w:jc w:val="both"/>
        <w:rPr>
          <w:bCs/>
        </w:rPr>
      </w:pPr>
      <w:r>
        <w:rPr>
          <w:bCs/>
        </w:rPr>
        <w:t>Törvénysértést követne el az önkormányzat, ha változatlan formában hatályban hagyná a rendeletet.</w:t>
      </w:r>
    </w:p>
    <w:p w:rsidR="0072775A" w:rsidRDefault="0072775A" w:rsidP="0072775A"/>
    <w:p w:rsidR="0072775A" w:rsidRDefault="0072775A" w:rsidP="0072775A">
      <w:r>
        <w:t>7.) A rendelet alkalmazásához szükséges feltételek:</w:t>
      </w:r>
    </w:p>
    <w:p w:rsidR="0072775A" w:rsidRDefault="0072775A" w:rsidP="0072775A"/>
    <w:p w:rsidR="0072775A" w:rsidRDefault="0072775A" w:rsidP="0072775A">
      <w:pPr>
        <w:tabs>
          <w:tab w:val="left" w:pos="567"/>
        </w:tabs>
        <w:autoSpaceDE w:val="0"/>
        <w:autoSpaceDN w:val="0"/>
        <w:adjustRightInd w:val="0"/>
        <w:jc w:val="both"/>
        <w:rPr>
          <w:bCs/>
        </w:rPr>
      </w:pPr>
      <w:r>
        <w:t>A rendelet hatályon kívül helyezése személyi, pénzügyi és tárgyi feltételeket nem igényel</w:t>
      </w:r>
      <w:r>
        <w:rPr>
          <w:bCs/>
        </w:rPr>
        <w:t>.</w:t>
      </w:r>
    </w:p>
    <w:p w:rsidR="0072775A" w:rsidRPr="00402BD6" w:rsidRDefault="0072775A" w:rsidP="0072775A">
      <w:pPr>
        <w:tabs>
          <w:tab w:val="left" w:pos="567"/>
        </w:tabs>
        <w:autoSpaceDE w:val="0"/>
        <w:autoSpaceDN w:val="0"/>
        <w:adjustRightInd w:val="0"/>
        <w:jc w:val="both"/>
        <w:rPr>
          <w:bCs/>
        </w:rPr>
      </w:pPr>
    </w:p>
    <w:p w:rsidR="0072775A" w:rsidRDefault="0072775A" w:rsidP="0072775A">
      <w:pPr>
        <w:tabs>
          <w:tab w:val="center" w:pos="2552"/>
          <w:tab w:val="center" w:pos="6804"/>
        </w:tabs>
        <w:jc w:val="both"/>
        <w:rPr>
          <w:bCs/>
        </w:rPr>
      </w:pPr>
      <w:r>
        <w:rPr>
          <w:bCs/>
        </w:rPr>
        <w:t>Martfű, 2018. november 20.</w:t>
      </w:r>
    </w:p>
    <w:p w:rsidR="0072775A" w:rsidRDefault="0072775A" w:rsidP="0072775A">
      <w:pPr>
        <w:tabs>
          <w:tab w:val="center" w:pos="2552"/>
          <w:tab w:val="center" w:pos="6804"/>
        </w:tabs>
        <w:jc w:val="both"/>
        <w:rPr>
          <w:bCs/>
        </w:rPr>
      </w:pPr>
    </w:p>
    <w:p w:rsidR="0072775A" w:rsidRDefault="0072775A" w:rsidP="0072775A">
      <w:pPr>
        <w:tabs>
          <w:tab w:val="center" w:pos="2552"/>
          <w:tab w:val="center" w:pos="6804"/>
        </w:tabs>
        <w:jc w:val="both"/>
        <w:rPr>
          <w:bCs/>
        </w:rPr>
      </w:pPr>
    </w:p>
    <w:p w:rsidR="0072775A" w:rsidRDefault="0072775A" w:rsidP="0072775A">
      <w:pPr>
        <w:tabs>
          <w:tab w:val="center" w:pos="2552"/>
          <w:tab w:val="center" w:pos="6804"/>
        </w:tabs>
        <w:jc w:val="right"/>
        <w:rPr>
          <w:bCs/>
        </w:rPr>
      </w:pPr>
      <w:r>
        <w:rPr>
          <w:bCs/>
        </w:rPr>
        <w:t xml:space="preserve">Dr. Papp Antal </w:t>
      </w:r>
    </w:p>
    <w:p w:rsidR="0072775A" w:rsidRDefault="0072775A" w:rsidP="0072775A">
      <w:pPr>
        <w:tabs>
          <w:tab w:val="center" w:pos="2552"/>
          <w:tab w:val="center" w:pos="6804"/>
        </w:tabs>
        <w:jc w:val="right"/>
        <w:rPr>
          <w:bCs/>
        </w:rPr>
      </w:pPr>
      <w:proofErr w:type="gramStart"/>
      <w:r>
        <w:rPr>
          <w:bCs/>
        </w:rPr>
        <w:t>polgármester</w:t>
      </w:r>
      <w:proofErr w:type="gramEnd"/>
    </w:p>
    <w:p w:rsidR="0072775A" w:rsidRDefault="0072775A" w:rsidP="0072775A">
      <w:pPr>
        <w:tabs>
          <w:tab w:val="center" w:pos="2552"/>
          <w:tab w:val="center" w:pos="6804"/>
        </w:tabs>
        <w:jc w:val="both"/>
        <w:rPr>
          <w:bCs/>
        </w:rPr>
      </w:pPr>
    </w:p>
    <w:p w:rsidR="0072775A" w:rsidRPr="0061344D" w:rsidRDefault="0072775A" w:rsidP="0072775A">
      <w:pPr>
        <w:tabs>
          <w:tab w:val="center" w:pos="2552"/>
          <w:tab w:val="center" w:pos="6804"/>
        </w:tabs>
        <w:jc w:val="both"/>
        <w:rPr>
          <w:bCs/>
        </w:rPr>
      </w:pPr>
      <w:r>
        <w:rPr>
          <w:bCs/>
        </w:rPr>
        <w:t xml:space="preserve">Látta: Szász Éva jegyző </w:t>
      </w:r>
    </w:p>
    <w:p w:rsidR="0072775A" w:rsidRDefault="0072775A" w:rsidP="008D0F01">
      <w:pPr>
        <w:pStyle w:val="Nincstrkz1"/>
        <w:rPr>
          <w:rFonts w:ascii="Times New Roman" w:hAnsi="Times New Roman" w:cs="Times New Roman"/>
          <w:sz w:val="24"/>
          <w:szCs w:val="24"/>
        </w:rPr>
      </w:pPr>
    </w:p>
    <w:p w:rsidR="008D0F01" w:rsidRPr="006F132F" w:rsidRDefault="008D0F01" w:rsidP="008D0F01">
      <w:pPr>
        <w:rPr>
          <w:rFonts w:ascii="New Century Schoolbook" w:hAnsi="New Century Schoolbook"/>
          <w:b/>
        </w:rPr>
      </w:pPr>
    </w:p>
    <w:p w:rsidR="00BD5167" w:rsidRDefault="00BD5167"/>
    <w:sectPr w:rsidR="00BD516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New Century Schoolbook">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0F01"/>
    <w:rsid w:val="0072775A"/>
    <w:rsid w:val="008D0F01"/>
    <w:rsid w:val="00BD5167"/>
    <w:rsid w:val="00C95A5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52C41E-3BF4-49C1-87A7-5939B086C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8D0F01"/>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rsid w:val="008D0F01"/>
    <w:rPr>
      <w:rFonts w:cs="Times New Roman"/>
      <w:color w:val="0000FF"/>
      <w:u w:val="single"/>
    </w:rPr>
  </w:style>
  <w:style w:type="paragraph" w:styleId="Szvegtrzs2">
    <w:name w:val="Body Text 2"/>
    <w:basedOn w:val="Norml"/>
    <w:link w:val="Szvegtrzs2Char"/>
    <w:rsid w:val="008D0F01"/>
    <w:pPr>
      <w:tabs>
        <w:tab w:val="left" w:pos="284"/>
        <w:tab w:val="left" w:pos="1843"/>
        <w:tab w:val="left" w:pos="4820"/>
        <w:tab w:val="left" w:pos="5387"/>
        <w:tab w:val="left" w:pos="6521"/>
      </w:tabs>
      <w:jc w:val="both"/>
    </w:pPr>
    <w:rPr>
      <w:rFonts w:ascii="Courier New" w:hAnsi="Courier New"/>
      <w:lang w:val="x-none" w:eastAsia="x-none"/>
    </w:rPr>
  </w:style>
  <w:style w:type="character" w:customStyle="1" w:styleId="Szvegtrzs2Char">
    <w:name w:val="Szövegtörzs 2 Char"/>
    <w:basedOn w:val="Bekezdsalapbettpusa"/>
    <w:link w:val="Szvegtrzs2"/>
    <w:rsid w:val="008D0F01"/>
    <w:rPr>
      <w:rFonts w:ascii="Courier New" w:eastAsia="Times New Roman" w:hAnsi="Courier New" w:cs="Times New Roman"/>
      <w:sz w:val="24"/>
      <w:szCs w:val="24"/>
      <w:lang w:val="x-none" w:eastAsia="x-none"/>
    </w:rPr>
  </w:style>
  <w:style w:type="paragraph" w:customStyle="1" w:styleId="Nincstrkz1">
    <w:name w:val="Nincs térköz1"/>
    <w:rsid w:val="008D0F01"/>
    <w:pPr>
      <w:spacing w:after="0" w:line="240" w:lineRule="auto"/>
    </w:pPr>
    <w:rPr>
      <w:rFonts w:ascii="Calibri" w:eastAsia="Times New Roman" w:hAnsi="Calibri" w:cs="Calibri"/>
    </w:rPr>
  </w:style>
  <w:style w:type="paragraph" w:styleId="Buborkszveg">
    <w:name w:val="Balloon Text"/>
    <w:basedOn w:val="Norml"/>
    <w:link w:val="BuborkszvegChar"/>
    <w:uiPriority w:val="99"/>
    <w:semiHidden/>
    <w:unhideWhenUsed/>
    <w:rsid w:val="008D0F01"/>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8D0F01"/>
    <w:rPr>
      <w:rFonts w:ascii="Segoe UI" w:eastAsia="Times New Roman" w:hAnsi="Segoe UI" w:cs="Segoe UI"/>
      <w:sz w:val="18"/>
      <w:szCs w:val="18"/>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titkarsag@szolnex.martfu.hu" TargetMode="External"/><Relationship Id="rId4"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591</Words>
  <Characters>4084</Characters>
  <Application>Microsoft Office Word</Application>
  <DocSecurity>0</DocSecurity>
  <Lines>34</Lines>
  <Paragraphs>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Körmendi Andrásné</dc:creator>
  <cp:keywords/>
  <dc:description/>
  <cp:lastModifiedBy>Körmendi Andrásné</cp:lastModifiedBy>
  <cp:revision>3</cp:revision>
  <cp:lastPrinted>2018-11-20T13:33:00Z</cp:lastPrinted>
  <dcterms:created xsi:type="dcterms:W3CDTF">2018-11-20T08:16:00Z</dcterms:created>
  <dcterms:modified xsi:type="dcterms:W3CDTF">2018-11-20T13:33:00Z</dcterms:modified>
</cp:coreProperties>
</file>